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0155" w14:textId="77777777" w:rsidR="00BC3A42" w:rsidRDefault="00BC3A42" w:rsidP="00BC3A42">
      <w:pPr>
        <w:jc w:val="right"/>
      </w:pPr>
    </w:p>
    <w:p w14:paraId="38ECF91D" w14:textId="77777777" w:rsidR="00BC3A42" w:rsidRDefault="00BC3A42" w:rsidP="00BC3A42"/>
    <w:p w14:paraId="761DA233" w14:textId="77777777" w:rsidR="00BC3A42" w:rsidRDefault="00BC3A42" w:rsidP="00BC3A42">
      <w:pPr>
        <w:rPr>
          <w:b/>
          <w:i/>
          <w:color w:val="000000"/>
          <w:spacing w:val="-6"/>
        </w:rPr>
      </w:pPr>
      <w:r>
        <w:rPr>
          <w:b/>
          <w:i/>
          <w:color w:val="000000"/>
        </w:rPr>
        <w:t xml:space="preserve">Par </w:t>
      </w:r>
      <w:bookmarkStart w:id="0" w:name="_Hlk41910546"/>
      <w:r>
        <w:rPr>
          <w:b/>
          <w:i/>
          <w:color w:val="000000"/>
        </w:rPr>
        <w:t xml:space="preserve">atklāta konkursa </w:t>
      </w:r>
      <w:r>
        <w:rPr>
          <w:rFonts w:eastAsia="Times New Roman"/>
          <w:b/>
          <w:i/>
          <w:color w:val="000000"/>
        </w:rPr>
        <w:t>„</w:t>
      </w:r>
      <w:bookmarkEnd w:id="0"/>
      <w:r w:rsidRPr="00BC3A42">
        <w:t xml:space="preserve"> </w:t>
      </w:r>
      <w:bookmarkStart w:id="1" w:name="_Hlk89783323"/>
      <w:r w:rsidRPr="00BC3A42">
        <w:rPr>
          <w:rFonts w:eastAsia="Times New Roman"/>
          <w:b/>
          <w:i/>
          <w:color w:val="000000"/>
        </w:rPr>
        <w:t xml:space="preserve">Ceļojumu aģentūras pakalpojumu nodrošināšana” iepirkuma id. Nr. LPS 2021/02 </w:t>
      </w:r>
      <w:bookmarkEnd w:id="1"/>
      <w:r w:rsidRPr="00BC3A42">
        <w:rPr>
          <w:rFonts w:eastAsia="Times New Roman"/>
          <w:b/>
          <w:i/>
          <w:color w:val="000000"/>
        </w:rPr>
        <w:t>nolikumu</w:t>
      </w:r>
    </w:p>
    <w:p w14:paraId="69E48878" w14:textId="77777777" w:rsidR="00BC3A42" w:rsidRDefault="00BC3A42" w:rsidP="00BC3A42">
      <w:pPr>
        <w:ind w:firstLine="720"/>
        <w:jc w:val="both"/>
        <w:rPr>
          <w:color w:val="000000"/>
        </w:rPr>
      </w:pPr>
    </w:p>
    <w:p w14:paraId="7F544CDD" w14:textId="77777777" w:rsidR="00BC3A42" w:rsidRDefault="00BC3A42" w:rsidP="00BC3A42">
      <w:pPr>
        <w:ind w:firstLine="720"/>
        <w:jc w:val="both"/>
        <w:rPr>
          <w:bCs/>
        </w:rPr>
      </w:pPr>
      <w:r>
        <w:rPr>
          <w:color w:val="000000"/>
        </w:rPr>
        <w:t>2021. gada 7. decembrī tika saņemti jautājumi no ieinteresētā piegādātāja par Latvijas Pašvaldību savienības (turpmāk – Pasūtītājs) rīkotā atklātā konkursa „</w:t>
      </w:r>
      <w:r w:rsidRPr="00BC3A42">
        <w:rPr>
          <w:color w:val="000000"/>
        </w:rPr>
        <w:t xml:space="preserve">Ceļojumu aģentūras pakalpojumu nodrošināšana” iepirkuma id. Nr. LPS 2021/02 </w:t>
      </w:r>
      <w:r>
        <w:rPr>
          <w:color w:val="000000"/>
        </w:rPr>
        <w:t xml:space="preserve"> (turpmāk – Konkurss) nolikuma prasībām</w:t>
      </w:r>
      <w:r>
        <w:rPr>
          <w:rFonts w:eastAsia="Calibri"/>
          <w:bCs/>
        </w:rPr>
        <w:t>. Konkursa</w:t>
      </w:r>
      <w:r>
        <w:rPr>
          <w:color w:val="000000"/>
        </w:rPr>
        <w:t xml:space="preserve"> komisija (turpmāk – Komisija) ir izskatījusi jautājumus un apstiprinājusi šādas atbildes:</w:t>
      </w:r>
    </w:p>
    <w:p w14:paraId="3DCDF181" w14:textId="77777777" w:rsidR="00BC3A42" w:rsidRDefault="00BC3A42" w:rsidP="00BC3A42">
      <w:pPr>
        <w:suppressAutoHyphens/>
        <w:autoSpaceDE w:val="0"/>
        <w:ind w:right="-81"/>
        <w:jc w:val="both"/>
      </w:pPr>
    </w:p>
    <w:p w14:paraId="20B6B08A" w14:textId="77777777" w:rsidR="00BC3A42" w:rsidRPr="00B97167" w:rsidRDefault="00BC3A42" w:rsidP="00033821">
      <w:pPr>
        <w:numPr>
          <w:ilvl w:val="0"/>
          <w:numId w:val="1"/>
        </w:numPr>
        <w:suppressAutoHyphens/>
        <w:autoSpaceDE w:val="0"/>
        <w:ind w:right="-81" w:hanging="11"/>
        <w:jc w:val="both"/>
        <w:rPr>
          <w:i/>
          <w:iCs/>
        </w:rPr>
      </w:pPr>
      <w:r w:rsidRPr="00B97167">
        <w:rPr>
          <w:i/>
          <w:iCs/>
        </w:rPr>
        <w:t xml:space="preserve">Punktā 2.6.2. minēts </w:t>
      </w:r>
    </w:p>
    <w:p w14:paraId="1B9F6D56" w14:textId="77777777" w:rsidR="00BC3A42" w:rsidRPr="00B97167" w:rsidRDefault="00BC3A42" w:rsidP="00033821">
      <w:pPr>
        <w:suppressAutoHyphens/>
        <w:autoSpaceDE w:val="0"/>
        <w:ind w:left="720" w:right="-81" w:hanging="11"/>
        <w:jc w:val="both"/>
        <w:rPr>
          <w:i/>
          <w:iCs/>
        </w:rPr>
      </w:pPr>
      <w:r w:rsidRPr="00B97167">
        <w:rPr>
          <w:i/>
          <w:iCs/>
        </w:rPr>
        <w:t>2.6.2.</w:t>
      </w:r>
      <w:r w:rsidRPr="00B97167">
        <w:rPr>
          <w:i/>
          <w:iCs/>
        </w:rPr>
        <w:tab/>
        <w:t>dokumentus pretendents pēc saviem ieskatiem ir tiesīgs iesniegt elektroniskā formā, gan parakstot ar EIS piedāvāto elektronisko parakstu, gan parakstot ar drošu elektronisko parakstu;</w:t>
      </w:r>
    </w:p>
    <w:p w14:paraId="4E322F7E" w14:textId="77777777" w:rsidR="00BC3A42" w:rsidRPr="00B97167" w:rsidRDefault="00BC3A42" w:rsidP="00033821">
      <w:pPr>
        <w:suppressAutoHyphens/>
        <w:autoSpaceDE w:val="0"/>
        <w:ind w:left="720" w:right="-81" w:hanging="11"/>
        <w:jc w:val="both"/>
        <w:rPr>
          <w:i/>
          <w:iCs/>
        </w:rPr>
      </w:pPr>
    </w:p>
    <w:p w14:paraId="7654D7E7" w14:textId="77777777" w:rsidR="00BC3A42" w:rsidRPr="00B97167" w:rsidRDefault="00BC3A42" w:rsidP="00033821">
      <w:pPr>
        <w:suppressAutoHyphens/>
        <w:autoSpaceDE w:val="0"/>
        <w:ind w:left="720" w:right="-81" w:hanging="11"/>
        <w:jc w:val="both"/>
        <w:rPr>
          <w:i/>
          <w:iCs/>
        </w:rPr>
      </w:pPr>
      <w:r w:rsidRPr="00B97167">
        <w:rPr>
          <w:i/>
          <w:iCs/>
        </w:rPr>
        <w:t>Jautājums: vai Pretendents pats izvēlas paraksta veidu, vai jāparaksta ar drošu elektronisko parakstu un pēc tam vēl ar EIS piedāvāto elektronisko parakstu.</w:t>
      </w:r>
    </w:p>
    <w:p w14:paraId="2FEB9EAC" w14:textId="77777777" w:rsidR="00BC3A42" w:rsidRDefault="00BC3A42" w:rsidP="00BC3A42">
      <w:pPr>
        <w:suppressAutoHyphens/>
        <w:autoSpaceDE w:val="0"/>
        <w:ind w:right="-81"/>
        <w:jc w:val="both"/>
      </w:pPr>
    </w:p>
    <w:p w14:paraId="7D32F9BB" w14:textId="77777777" w:rsidR="001F60E3" w:rsidRPr="001F60E3" w:rsidRDefault="001F60E3" w:rsidP="00BC3A42">
      <w:pPr>
        <w:suppressAutoHyphens/>
        <w:autoSpaceDE w:val="0"/>
        <w:ind w:right="-81"/>
        <w:jc w:val="both"/>
        <w:rPr>
          <w:b/>
          <w:bCs/>
        </w:rPr>
      </w:pPr>
      <w:r w:rsidRPr="001F60E3">
        <w:rPr>
          <w:b/>
          <w:bCs/>
        </w:rPr>
        <w:t>Atbilde:</w:t>
      </w:r>
    </w:p>
    <w:p w14:paraId="27A3858E" w14:textId="77777777" w:rsidR="00BC3A42" w:rsidRPr="001F60E3" w:rsidRDefault="001F60E3" w:rsidP="00BC3A42">
      <w:pPr>
        <w:suppressAutoHyphens/>
        <w:autoSpaceDE w:val="0"/>
        <w:ind w:right="-81"/>
        <w:jc w:val="both"/>
      </w:pPr>
      <w:r w:rsidRPr="001F60E3">
        <w:t>Saskaņā ar Nolikuma 2.6.2. Pretendents var izvēlēties vienu no dokumentu parakstīšanas viediem – ar EIS piedāvāto elektronisko parakstu, vai ar drošu elektronisko parakstu.</w:t>
      </w:r>
    </w:p>
    <w:p w14:paraId="47474D8F" w14:textId="77777777" w:rsidR="00BC3A42" w:rsidRPr="00B97167" w:rsidRDefault="00BC3A42" w:rsidP="00BC3A42">
      <w:pPr>
        <w:suppressAutoHyphens/>
        <w:autoSpaceDE w:val="0"/>
        <w:ind w:right="-81"/>
        <w:jc w:val="both"/>
        <w:rPr>
          <w:i/>
          <w:iCs/>
        </w:rPr>
      </w:pPr>
    </w:p>
    <w:p w14:paraId="157750E7" w14:textId="77777777" w:rsidR="00BC3A42" w:rsidRPr="00B97167" w:rsidRDefault="00BC3A42" w:rsidP="00033821">
      <w:pPr>
        <w:numPr>
          <w:ilvl w:val="0"/>
          <w:numId w:val="1"/>
        </w:numPr>
        <w:ind w:hanging="11"/>
        <w:jc w:val="both"/>
        <w:rPr>
          <w:i/>
          <w:iCs/>
        </w:rPr>
      </w:pPr>
      <w:r w:rsidRPr="00B97167">
        <w:rPr>
          <w:i/>
          <w:iCs/>
        </w:rPr>
        <w:t xml:space="preserve">Iepirkuma ietvaros tiks rīkota simulācijas uzdevumu izpilde. Šo uzdevumu izpilde būs jāizpilda tehniskajā specifikācijā norādītajā laikā. Sakiet, lūdzu, vai abi uzdevumi tiks nosūtīti vienlaicīgi? Vai tehniskajā specifikācijā norādītais pasūtījumu apstrādes laiks tiks attiecināts katram uzdevumam atsevišķi? </w:t>
      </w:r>
    </w:p>
    <w:p w14:paraId="1D675B41" w14:textId="77777777" w:rsidR="00BC3A42" w:rsidRDefault="00BC3A42" w:rsidP="00033821">
      <w:pPr>
        <w:ind w:left="720" w:hanging="11"/>
        <w:jc w:val="both"/>
      </w:pPr>
    </w:p>
    <w:p w14:paraId="21247BF8" w14:textId="77777777" w:rsidR="001F60E3" w:rsidRPr="001F60E3" w:rsidRDefault="001F60E3" w:rsidP="001F60E3">
      <w:pPr>
        <w:suppressAutoHyphens/>
        <w:autoSpaceDE w:val="0"/>
        <w:ind w:right="-81"/>
        <w:jc w:val="both"/>
        <w:rPr>
          <w:b/>
          <w:bCs/>
        </w:rPr>
      </w:pPr>
      <w:r w:rsidRPr="001F60E3">
        <w:rPr>
          <w:b/>
          <w:bCs/>
        </w:rPr>
        <w:t>Atbilde:</w:t>
      </w:r>
    </w:p>
    <w:p w14:paraId="0FB4AB25" w14:textId="77777777" w:rsidR="001F60E3" w:rsidRPr="001F60E3" w:rsidRDefault="001F60E3" w:rsidP="001F60E3">
      <w:pPr>
        <w:suppressAutoHyphens/>
        <w:autoSpaceDE w:val="0"/>
        <w:ind w:right="-81"/>
        <w:jc w:val="both"/>
      </w:pPr>
      <w:r>
        <w:t>Jā, abi uzdevumi tiks nosūtīti vienlaicīgi. Pasūtījumu apstrādes laiks tiks attiecināts katram uzdevumam atsevišķi</w:t>
      </w:r>
      <w:r w:rsidR="003D6F5A">
        <w:t xml:space="preserve">.  </w:t>
      </w:r>
    </w:p>
    <w:p w14:paraId="211659F3" w14:textId="77777777" w:rsidR="00BC3A42" w:rsidRPr="00BA69C5" w:rsidRDefault="00BC3A42" w:rsidP="00BC3A42">
      <w:pPr>
        <w:jc w:val="both"/>
      </w:pPr>
    </w:p>
    <w:p w14:paraId="718578E5" w14:textId="77777777" w:rsidR="00BC3A42" w:rsidRPr="00B97167" w:rsidRDefault="00BC3A42" w:rsidP="00BC3A42">
      <w:pPr>
        <w:suppressAutoHyphens/>
        <w:autoSpaceDE w:val="0"/>
        <w:ind w:right="-81"/>
        <w:jc w:val="both"/>
        <w:rPr>
          <w:i/>
          <w:iCs/>
        </w:rPr>
      </w:pPr>
    </w:p>
    <w:p w14:paraId="287BDD2F" w14:textId="77777777" w:rsidR="00BC3A42" w:rsidRPr="00B97167" w:rsidRDefault="00BC3A42" w:rsidP="00033821">
      <w:pPr>
        <w:numPr>
          <w:ilvl w:val="0"/>
          <w:numId w:val="1"/>
        </w:numPr>
        <w:suppressAutoHyphens/>
        <w:autoSpaceDE w:val="0"/>
        <w:ind w:right="-81" w:hanging="11"/>
        <w:jc w:val="both"/>
        <w:rPr>
          <w:i/>
          <w:iCs/>
        </w:rPr>
      </w:pPr>
      <w:r w:rsidRPr="00B97167">
        <w:rPr>
          <w:i/>
          <w:iCs/>
        </w:rPr>
        <w:t>Vai simulācijas uzdevumu risinājums jāiesniedz brīvā formā vai būs kāda forma?</w:t>
      </w:r>
    </w:p>
    <w:p w14:paraId="32E10E72" w14:textId="77777777" w:rsidR="00BC3A42" w:rsidRDefault="00BC3A42" w:rsidP="00BC3A42">
      <w:pPr>
        <w:suppressAutoHyphens/>
        <w:autoSpaceDE w:val="0"/>
        <w:ind w:right="-81"/>
        <w:jc w:val="both"/>
      </w:pPr>
    </w:p>
    <w:p w14:paraId="7EF3F1FE" w14:textId="77777777" w:rsidR="003D6F5A" w:rsidRPr="001F60E3" w:rsidRDefault="003D6F5A" w:rsidP="003D6F5A">
      <w:pPr>
        <w:suppressAutoHyphens/>
        <w:autoSpaceDE w:val="0"/>
        <w:ind w:right="-81"/>
        <w:jc w:val="both"/>
        <w:rPr>
          <w:b/>
          <w:bCs/>
        </w:rPr>
      </w:pPr>
      <w:r w:rsidRPr="001F60E3">
        <w:rPr>
          <w:b/>
          <w:bCs/>
        </w:rPr>
        <w:t>Atbilde:</w:t>
      </w:r>
    </w:p>
    <w:p w14:paraId="6F97A185" w14:textId="77777777" w:rsidR="00BE2FCA" w:rsidRPr="00BE2FCA" w:rsidRDefault="003D6F5A" w:rsidP="00BE2FCA">
      <w:pPr>
        <w:suppressAutoHyphens/>
        <w:autoSpaceDE w:val="0"/>
        <w:ind w:right="-81"/>
        <w:jc w:val="both"/>
      </w:pPr>
      <w:r w:rsidRPr="00BE2FCA">
        <w:t>Pretendents iesniegs uzdevuma risinājumus norādītajā formā</w:t>
      </w:r>
      <w:r w:rsidR="00BE2FCA" w:rsidRPr="00BE2FCA">
        <w:t>, papildus tam pievienojot rezervāciju izdrukas no datu bāzes(-ēm) ar cenām, kur var pārliecināties par piedāvāto biļešu, viesnīcu un ceļojumu apdrošināšanas polises cenu atbilstību tiešo pakalpojumu sniedzēju piedāvājumiem.</w:t>
      </w:r>
    </w:p>
    <w:p w14:paraId="271C5C16" w14:textId="77777777" w:rsidR="003D6F5A" w:rsidRDefault="003D6F5A" w:rsidP="00BC3A42">
      <w:pPr>
        <w:suppressAutoHyphens/>
        <w:autoSpaceDE w:val="0"/>
        <w:ind w:right="-81"/>
        <w:jc w:val="both"/>
        <w:rPr>
          <w:color w:val="FF0000"/>
        </w:rPr>
      </w:pPr>
    </w:p>
    <w:p w14:paraId="060579B5" w14:textId="77777777" w:rsidR="00BC3A42" w:rsidRDefault="00BC3A42" w:rsidP="00BC3A42">
      <w:pPr>
        <w:suppressAutoHyphens/>
        <w:autoSpaceDE w:val="0"/>
        <w:ind w:right="-81"/>
        <w:jc w:val="both"/>
      </w:pPr>
    </w:p>
    <w:p w14:paraId="1B1AD3B2" w14:textId="77777777" w:rsidR="00BC3A42" w:rsidRPr="00B97167" w:rsidRDefault="00BC3A42" w:rsidP="00033821">
      <w:pPr>
        <w:numPr>
          <w:ilvl w:val="0"/>
          <w:numId w:val="1"/>
        </w:numPr>
        <w:ind w:hanging="11"/>
        <w:jc w:val="both"/>
        <w:rPr>
          <w:i/>
          <w:iCs/>
        </w:rPr>
      </w:pPr>
      <w:r w:rsidRPr="00B97167">
        <w:rPr>
          <w:i/>
          <w:iCs/>
        </w:rPr>
        <w:t>Kāda informācija būs jāiekļauj uzdevumu risinājuma piedāvājumā – aviobiļetes un viesnīcas rezervāciju apliecinošie dokumenti, vai papildus ir jāsniedz arī cita informācija par brauciena nodrošināšanu (piemēram., nokļūšana, sabiedriskā transporta cenas, aviobiļešu noteikumi u.tml.). Vai norādītā papildus informācija tiks vērtēta?</w:t>
      </w:r>
    </w:p>
    <w:p w14:paraId="6F381D51" w14:textId="77777777" w:rsidR="00BC3A42" w:rsidRDefault="00BC3A42" w:rsidP="00BC3A42">
      <w:pPr>
        <w:ind w:left="720"/>
        <w:jc w:val="both"/>
      </w:pPr>
    </w:p>
    <w:p w14:paraId="56C99B78" w14:textId="77777777" w:rsidR="003D6F5A" w:rsidRPr="001F60E3" w:rsidRDefault="003D6F5A" w:rsidP="003D6F5A">
      <w:pPr>
        <w:suppressAutoHyphens/>
        <w:autoSpaceDE w:val="0"/>
        <w:ind w:right="-81"/>
        <w:jc w:val="both"/>
        <w:rPr>
          <w:b/>
          <w:bCs/>
        </w:rPr>
      </w:pPr>
      <w:r w:rsidRPr="001F60E3">
        <w:rPr>
          <w:b/>
          <w:bCs/>
        </w:rPr>
        <w:t>Atbilde:</w:t>
      </w:r>
    </w:p>
    <w:p w14:paraId="0F5E2BEE" w14:textId="77777777" w:rsidR="003D6F5A" w:rsidRPr="001F60E3" w:rsidRDefault="003D6F5A" w:rsidP="003D6F5A">
      <w:pPr>
        <w:suppressAutoHyphens/>
        <w:autoSpaceDE w:val="0"/>
        <w:ind w:right="-81"/>
        <w:jc w:val="both"/>
      </w:pPr>
      <w:r>
        <w:t xml:space="preserve">Katra uzdevuma risinājumā būs jānorāda kopējais ceļojumā pavadāmais laiks (stundās), attālums no viesnīcas līdz pasākuma norises vietai, ceļojuma izmaksas (t.sk. transportu, viesnīcas, apdrošināšanas un citas izmaksas, kas saistītas ar uzdevumā norādīto). </w:t>
      </w:r>
      <w:r w:rsidR="00033821">
        <w:t>Saimnieciski izdevīgākais piedāvājums tiks vērtēts s</w:t>
      </w:r>
      <w:r>
        <w:t xml:space="preserve">askaņā ar Nolikuma 4.5.8.punktā norādīto </w:t>
      </w:r>
      <w:r w:rsidR="00033821">
        <w:t>1.kritērija vērtēšanas nosacījumiem.</w:t>
      </w:r>
    </w:p>
    <w:p w14:paraId="2AC7FB11" w14:textId="77777777" w:rsidR="003D6F5A" w:rsidRDefault="003D6F5A" w:rsidP="00BC3A42">
      <w:pPr>
        <w:jc w:val="both"/>
        <w:rPr>
          <w:color w:val="FF0000"/>
        </w:rPr>
      </w:pPr>
    </w:p>
    <w:p w14:paraId="54F77817" w14:textId="77777777" w:rsidR="00BC3A42" w:rsidRPr="00977083" w:rsidRDefault="00BC3A42" w:rsidP="00BC3A42">
      <w:pPr>
        <w:jc w:val="both"/>
        <w:rPr>
          <w:color w:val="FF0000"/>
        </w:rPr>
      </w:pPr>
    </w:p>
    <w:p w14:paraId="34C6FE0C" w14:textId="77777777" w:rsidR="00BC3A42" w:rsidRPr="00B97167" w:rsidRDefault="00BC3A42" w:rsidP="00033821">
      <w:pPr>
        <w:numPr>
          <w:ilvl w:val="0"/>
          <w:numId w:val="1"/>
        </w:numPr>
        <w:ind w:hanging="11"/>
        <w:jc w:val="both"/>
        <w:rPr>
          <w:i/>
          <w:iCs/>
        </w:rPr>
      </w:pPr>
      <w:r w:rsidRPr="00B97167">
        <w:rPr>
          <w:i/>
          <w:iCs/>
        </w:rPr>
        <w:t>Kā Pasūtītājs pārliecināsies par pretendentu iesniegto cenu atbilstību reālajai situācijai, rezervāciju patiesumam un atbilstībai tiešo pakalpojumu sniedzēju norādītajām cenām?</w:t>
      </w:r>
    </w:p>
    <w:p w14:paraId="510CD738" w14:textId="77777777" w:rsidR="00BC3A42" w:rsidRDefault="00BC3A42" w:rsidP="00BC3A42">
      <w:pPr>
        <w:jc w:val="both"/>
      </w:pPr>
    </w:p>
    <w:p w14:paraId="74A95668" w14:textId="77777777" w:rsidR="00033821" w:rsidRPr="001F60E3" w:rsidRDefault="00033821" w:rsidP="00033821">
      <w:pPr>
        <w:suppressAutoHyphens/>
        <w:autoSpaceDE w:val="0"/>
        <w:ind w:right="-81"/>
        <w:jc w:val="both"/>
        <w:rPr>
          <w:b/>
          <w:bCs/>
        </w:rPr>
      </w:pPr>
      <w:r w:rsidRPr="001F60E3">
        <w:rPr>
          <w:b/>
          <w:bCs/>
        </w:rPr>
        <w:t>Atbilde:</w:t>
      </w:r>
    </w:p>
    <w:p w14:paraId="1F64D689" w14:textId="77777777" w:rsidR="00033821" w:rsidRPr="001F60E3" w:rsidRDefault="00033821" w:rsidP="00033821">
      <w:pPr>
        <w:suppressAutoHyphens/>
        <w:autoSpaceDE w:val="0"/>
        <w:ind w:right="-81"/>
        <w:jc w:val="both"/>
      </w:pPr>
      <w:r>
        <w:t>Pretendents uzdevuma risinājumam pievieno rezervāciju izdrukas no datu bāzes(-ēm) ar cenām, kur var pārliecināties par piedāvāto biļešu, viesnīcu un ceļojumu apdrošināšanas polises cenu atbilstību tiešo pakalpojumu sniedzēju piedāvājumiem.</w:t>
      </w:r>
    </w:p>
    <w:p w14:paraId="7A86F7E5" w14:textId="77777777" w:rsidR="00033821" w:rsidRDefault="00033821" w:rsidP="00033821">
      <w:pPr>
        <w:jc w:val="both"/>
        <w:rPr>
          <w:color w:val="FF0000"/>
        </w:rPr>
      </w:pPr>
    </w:p>
    <w:p w14:paraId="26E0F9E3" w14:textId="77777777" w:rsidR="00BC3A42" w:rsidRDefault="00BC3A42" w:rsidP="00BC3A42">
      <w:pPr>
        <w:pStyle w:val="ListParagraph"/>
        <w:jc w:val="both"/>
      </w:pPr>
    </w:p>
    <w:p w14:paraId="1FDF504F" w14:textId="77777777" w:rsidR="00BC3A42" w:rsidRPr="00B97167" w:rsidRDefault="00BC3A42" w:rsidP="00033821">
      <w:pPr>
        <w:numPr>
          <w:ilvl w:val="0"/>
          <w:numId w:val="1"/>
        </w:numPr>
        <w:ind w:hanging="11"/>
        <w:jc w:val="both"/>
        <w:rPr>
          <w:i/>
          <w:iCs/>
        </w:rPr>
      </w:pPr>
      <w:r w:rsidRPr="00B97167">
        <w:rPr>
          <w:i/>
          <w:iCs/>
        </w:rPr>
        <w:t>4.5.8. punktā pie vērtēšanas kritērijiem ir minēts</w:t>
      </w:r>
    </w:p>
    <w:p w14:paraId="5518AE2E" w14:textId="77777777" w:rsidR="00BC3A42" w:rsidRPr="00B97167" w:rsidRDefault="00BC3A42" w:rsidP="00033821">
      <w:pPr>
        <w:pStyle w:val="ListParagraph"/>
        <w:ind w:hanging="11"/>
        <w:jc w:val="both"/>
        <w:rPr>
          <w:rFonts w:ascii="Times New Roman" w:hAnsi="Times New Roman"/>
          <w:i/>
          <w:iCs/>
          <w:sz w:val="24"/>
          <w:szCs w:val="24"/>
        </w:rPr>
      </w:pPr>
      <w:r w:rsidRPr="00B97167">
        <w:rPr>
          <w:rFonts w:ascii="Times New Roman" w:hAnsi="Times New Roman"/>
          <w:i/>
          <w:iCs/>
          <w:sz w:val="24"/>
          <w:szCs w:val="24"/>
        </w:rPr>
        <w:t>Ja saimnieciski visizdevīgākais piedāvājuma izvēles kritērijā “3.Kritērijs Pasūtījuma apstrādes laiks” vairākiem pretendentiem ir vienāds punktu skaits, Komisija izvēlas tādu pretendentu,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14:paraId="2EDEFF7E" w14:textId="77777777" w:rsidR="00BC3A42" w:rsidRPr="00B97167" w:rsidRDefault="00BC3A42" w:rsidP="00033821">
      <w:pPr>
        <w:pStyle w:val="ListParagraph"/>
        <w:ind w:hanging="11"/>
        <w:jc w:val="both"/>
        <w:rPr>
          <w:rFonts w:ascii="Times New Roman" w:hAnsi="Times New Roman"/>
          <w:i/>
          <w:iCs/>
          <w:sz w:val="24"/>
          <w:szCs w:val="24"/>
        </w:rPr>
      </w:pPr>
    </w:p>
    <w:p w14:paraId="3BFC4403" w14:textId="77777777" w:rsidR="00BC3A42" w:rsidRPr="00B97167" w:rsidRDefault="00BC3A42" w:rsidP="00033821">
      <w:pPr>
        <w:pStyle w:val="ListParagraph"/>
        <w:ind w:hanging="11"/>
        <w:jc w:val="both"/>
        <w:rPr>
          <w:rFonts w:ascii="Times New Roman" w:hAnsi="Times New Roman"/>
          <w:i/>
          <w:iCs/>
          <w:sz w:val="24"/>
          <w:szCs w:val="24"/>
        </w:rPr>
      </w:pPr>
      <w:r w:rsidRPr="00B97167">
        <w:rPr>
          <w:rFonts w:ascii="Times New Roman" w:hAnsi="Times New Roman"/>
          <w:i/>
          <w:iCs/>
          <w:sz w:val="24"/>
          <w:szCs w:val="24"/>
        </w:rPr>
        <w:t>Ja pretendentiem, kuriem ir vienāds punktu skaits gan kopvērtējuma punktu aprēķinā, gan saimnieciski visizdevīgākā piedāvājuma izvēles kritērijā “3.Kritērijs Pasūtījuma apstrādes laiks”, gan arī ir izpildīts nosacījums, ka pretendents ir nacionāla līmeņa darba devēju organizācijas biedrs un ir noslēdzis koplīgumu ar arodbiedrību, kas ir nacionāla līmeņa arodbiedrības biedre, tiek veikta izloze pretendentu klātbūtnē. Izloze var tikt noturēta ar konferencsakaru (telefonkonferencsakaru, videokonferencsakaru) vai citu saziņas iekārtu palīdzību, kas nodrošina visiem Piegādātājiem iespēju vienlaikus piedalīties izlozē</w:t>
      </w:r>
    </w:p>
    <w:p w14:paraId="57CA0C9E" w14:textId="77777777" w:rsidR="00BC3A42" w:rsidRPr="00B97167" w:rsidRDefault="00BC3A42" w:rsidP="00033821">
      <w:pPr>
        <w:ind w:left="720" w:hanging="11"/>
        <w:jc w:val="both"/>
        <w:rPr>
          <w:i/>
          <w:iCs/>
        </w:rPr>
      </w:pPr>
      <w:r w:rsidRPr="00B97167">
        <w:rPr>
          <w:i/>
          <w:iCs/>
        </w:rPr>
        <w:t xml:space="preserve">Kas šeit domāts? Lūdzu ņemt vērā, ka Latvijas Republikā tūrisma nozarē nav īsti tāda koplīguma/arodbiedrības un Latvijas Darba devēju konfederācijas sadaļā “Tūrisms un viesnīcas restorāni” ir tikai šie uzņēmumi: SIA BT1, Latvijas Restorānu biedrība, SIA Olimpiskais centrs “Ventspils”, VSIA Latvijas Nacionālā opera un balets, SIA Ladeko , Latvijas Spēļu biznesa asociācija, Latvijas Viesnīcu un restorānu asociācija. </w:t>
      </w:r>
    </w:p>
    <w:p w14:paraId="026670E5" w14:textId="77777777" w:rsidR="00B97167" w:rsidRDefault="00B97167" w:rsidP="008417B8">
      <w:pPr>
        <w:suppressAutoHyphens/>
        <w:autoSpaceDE w:val="0"/>
        <w:ind w:right="-81"/>
        <w:jc w:val="both"/>
        <w:rPr>
          <w:b/>
          <w:bCs/>
        </w:rPr>
      </w:pPr>
    </w:p>
    <w:p w14:paraId="0A63A51E" w14:textId="77777777" w:rsidR="00B97167" w:rsidRDefault="00B97167" w:rsidP="008417B8">
      <w:pPr>
        <w:suppressAutoHyphens/>
        <w:autoSpaceDE w:val="0"/>
        <w:ind w:right="-81"/>
        <w:jc w:val="both"/>
        <w:rPr>
          <w:b/>
          <w:bCs/>
        </w:rPr>
      </w:pPr>
    </w:p>
    <w:p w14:paraId="50473D65" w14:textId="77777777" w:rsidR="00B97167" w:rsidRDefault="00B97167" w:rsidP="008417B8">
      <w:pPr>
        <w:suppressAutoHyphens/>
        <w:autoSpaceDE w:val="0"/>
        <w:ind w:right="-81"/>
        <w:jc w:val="both"/>
        <w:rPr>
          <w:b/>
          <w:bCs/>
        </w:rPr>
      </w:pPr>
    </w:p>
    <w:p w14:paraId="7D52E7F4" w14:textId="2BC21909" w:rsidR="008417B8" w:rsidRDefault="008417B8" w:rsidP="008417B8">
      <w:pPr>
        <w:suppressAutoHyphens/>
        <w:autoSpaceDE w:val="0"/>
        <w:ind w:right="-81"/>
        <w:jc w:val="both"/>
        <w:rPr>
          <w:b/>
          <w:bCs/>
        </w:rPr>
      </w:pPr>
      <w:r w:rsidRPr="001F60E3">
        <w:rPr>
          <w:b/>
          <w:bCs/>
        </w:rPr>
        <w:lastRenderedPageBreak/>
        <w:t>Atbilde:</w:t>
      </w:r>
    </w:p>
    <w:p w14:paraId="6201650E" w14:textId="77777777" w:rsidR="00B97167" w:rsidRPr="001F60E3" w:rsidRDefault="00B97167" w:rsidP="008417B8">
      <w:pPr>
        <w:suppressAutoHyphens/>
        <w:autoSpaceDE w:val="0"/>
        <w:ind w:right="-81"/>
        <w:jc w:val="both"/>
        <w:rPr>
          <w:b/>
          <w:bCs/>
        </w:rPr>
      </w:pPr>
    </w:p>
    <w:p w14:paraId="709984AF" w14:textId="77777777" w:rsidR="008417B8" w:rsidRDefault="008417B8" w:rsidP="008417B8">
      <w:pPr>
        <w:jc w:val="both"/>
      </w:pPr>
      <w:r>
        <w:t>Ņemot vērā Iepirkumu uzraudzības biroja 2021.gada 30.novembrī publicēto skaidrojumu, Komisija ir veikusi attiecīgus grozījumus nolikuma 4.5.8.punktā, izsakot to šādā redakcijā:</w:t>
      </w:r>
    </w:p>
    <w:p w14:paraId="4C840FF4" w14:textId="77777777" w:rsidR="002D263C" w:rsidRDefault="002D263C" w:rsidP="008417B8">
      <w:pPr>
        <w:jc w:val="both"/>
      </w:pPr>
    </w:p>
    <w:p w14:paraId="0164F084" w14:textId="77777777" w:rsidR="008417B8" w:rsidRPr="00717F66" w:rsidRDefault="008417B8" w:rsidP="008417B8">
      <w:pPr>
        <w:widowControl w:val="0"/>
        <w:suppressAutoHyphens/>
        <w:autoSpaceDN w:val="0"/>
        <w:spacing w:after="9"/>
        <w:ind w:right="41"/>
        <w:jc w:val="both"/>
        <w:textAlignment w:val="baseline"/>
      </w:pPr>
      <w:r>
        <w:t xml:space="preserve">“4.5.8. Ja </w:t>
      </w:r>
      <w:r w:rsidRPr="008417B8">
        <w:t>vairāki pretendenti kopvērtējuma punktu aprēķinā ir guvuši vienādu lielāko punktu skaitu, tad Komisija par iepirkuma uzvarētāju atzīs tā pretendenta piedāvājumu, kurš saimnieciski visizdevīgākā piedāvājuma izvēles kritērijā “3.Kritērijs Pasūtījuma apstrādes laiks” ir guvis lielāko punktu skaitu.</w:t>
      </w:r>
    </w:p>
    <w:p w14:paraId="186BA882" w14:textId="77777777" w:rsidR="008417B8" w:rsidRDefault="008417B8" w:rsidP="008417B8">
      <w:pPr>
        <w:spacing w:after="9"/>
        <w:ind w:left="-5" w:right="41"/>
      </w:pPr>
    </w:p>
    <w:p w14:paraId="752C51AD" w14:textId="77777777" w:rsidR="008417B8" w:rsidRDefault="008417B8" w:rsidP="002D263C">
      <w:pPr>
        <w:spacing w:after="9"/>
        <w:ind w:left="-5" w:right="41"/>
      </w:pPr>
      <w:r w:rsidRPr="00FD1EF6">
        <w:t>Ja saimnieciski visizdevīgākais piedāvājuma izvēles kritērijā “</w:t>
      </w:r>
      <w:r w:rsidRPr="00717F66">
        <w:t>3.Kritērijs Pasūtījuma apstrādes laiks</w:t>
      </w:r>
      <w:r w:rsidRPr="00FD1EF6">
        <w:t xml:space="preserve">” vairākiem pretendentiem ir vienāds punktu skaits, Komisija </w:t>
      </w:r>
      <w:r>
        <w:t xml:space="preserve">veic </w:t>
      </w:r>
      <w:r w:rsidRPr="00FD1EF6">
        <w:t>izloz</w:t>
      </w:r>
      <w:r>
        <w:t>i</w:t>
      </w:r>
      <w:r w:rsidRPr="00FD1EF6">
        <w:t xml:space="preserve"> pretendentu klātbūtnē. Izloze var tikt noturēta ar konferencsakaru (telefonkonferencsakaru, videokonferencsakaru) vai citu saziņas iekārtu palīdzību, kas nodrošina visiem Piegādātājiem iespēju vienlaikus piedalīties izlozē.</w:t>
      </w:r>
      <w:r w:rsidR="002D263C">
        <w:t>”</w:t>
      </w:r>
    </w:p>
    <w:p w14:paraId="40464602" w14:textId="64F3702C" w:rsidR="008417B8" w:rsidRDefault="008417B8" w:rsidP="008417B8">
      <w:pPr>
        <w:jc w:val="both"/>
      </w:pPr>
    </w:p>
    <w:p w14:paraId="3CB42B48" w14:textId="77777777" w:rsidR="00E1696B" w:rsidRDefault="00B97167"/>
    <w:sectPr w:rsidR="00E169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150"/>
    <w:multiLevelType w:val="hybridMultilevel"/>
    <w:tmpl w:val="26A632FA"/>
    <w:lvl w:ilvl="0" w:tplc="AC3E372E">
      <w:start w:val="1"/>
      <w:numFmt w:val="decimal"/>
      <w:lvlText w:val="%1."/>
      <w:lvlJc w:val="left"/>
      <w:pPr>
        <w:ind w:left="720" w:hanging="6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7A2C2FD0"/>
    <w:multiLevelType w:val="multilevel"/>
    <w:tmpl w:val="DE842B6C"/>
    <w:lvl w:ilvl="0">
      <w:start w:val="4"/>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51"/>
    <w:rsid w:val="00033821"/>
    <w:rsid w:val="0009181F"/>
    <w:rsid w:val="000C1551"/>
    <w:rsid w:val="001F60E3"/>
    <w:rsid w:val="002D263C"/>
    <w:rsid w:val="003D6F5A"/>
    <w:rsid w:val="00553406"/>
    <w:rsid w:val="005D2606"/>
    <w:rsid w:val="006D55B4"/>
    <w:rsid w:val="008417B8"/>
    <w:rsid w:val="00B97167"/>
    <w:rsid w:val="00BC3A42"/>
    <w:rsid w:val="00BE2FCA"/>
    <w:rsid w:val="00BE3649"/>
    <w:rsid w:val="00DC2B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A324"/>
  <w15:chartTrackingRefBased/>
  <w15:docId w15:val="{062279C4-2420-4AE2-9CC4-A078D7D4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A42"/>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3A42"/>
    <w:rPr>
      <w:color w:val="0563C1" w:themeColor="hyperlink"/>
      <w:u w:val="single"/>
    </w:rPr>
  </w:style>
  <w:style w:type="paragraph" w:styleId="ListParagraph">
    <w:name w:val="List Paragraph"/>
    <w:basedOn w:val="Normal"/>
    <w:uiPriority w:val="99"/>
    <w:qFormat/>
    <w:rsid w:val="00BC3A4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3510</Words>
  <Characters>2001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Veismane</dc:creator>
  <cp:keywords/>
  <dc:description/>
  <cp:lastModifiedBy>Zane Zvaigzne</cp:lastModifiedBy>
  <cp:revision>10</cp:revision>
  <dcterms:created xsi:type="dcterms:W3CDTF">2021-12-07T13:25:00Z</dcterms:created>
  <dcterms:modified xsi:type="dcterms:W3CDTF">2021-12-10T11:47:00Z</dcterms:modified>
</cp:coreProperties>
</file>